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F" w:rsidRPr="00152609" w:rsidRDefault="00D5616F" w:rsidP="00152609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5616F" w:rsidRPr="00E47AE0" w:rsidRDefault="00D5616F" w:rsidP="00152609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E0">
        <w:rPr>
          <w:rFonts w:ascii="Times New Roman" w:hAnsi="Times New Roman" w:cs="Times New Roman"/>
          <w:b/>
          <w:sz w:val="28"/>
          <w:szCs w:val="28"/>
        </w:rPr>
        <w:t>Об инд</w:t>
      </w:r>
      <w:r w:rsidR="00AE2716" w:rsidRPr="00E47AE0">
        <w:rPr>
          <w:rFonts w:ascii="Times New Roman" w:hAnsi="Times New Roman" w:cs="Times New Roman"/>
          <w:b/>
          <w:sz w:val="28"/>
          <w:szCs w:val="28"/>
        </w:rPr>
        <w:t xml:space="preserve">ексе потребительских цен в </w:t>
      </w:r>
      <w:r w:rsidR="00CD3D8B" w:rsidRPr="00E47AE0">
        <w:rPr>
          <w:rFonts w:ascii="Times New Roman" w:hAnsi="Times New Roman" w:cs="Times New Roman"/>
          <w:b/>
          <w:sz w:val="28"/>
          <w:szCs w:val="28"/>
        </w:rPr>
        <w:t>мае</w:t>
      </w:r>
      <w:r w:rsidR="005354E7" w:rsidRPr="00E47AE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E47A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496" w:rsidRPr="00E47AE0" w:rsidRDefault="002E344C" w:rsidP="007E1526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  <w:proofErr w:type="gramStart"/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Индекс потребительских цен</w:t>
      </w:r>
      <w:r w:rsidRPr="00E47AE0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на товары и услуги по Пензенской области в мае 2020 г. по отношению к апрелю 2020 г. составил 99,9%, в том числе на продовольственные товары (включая алкогольные напитки) – 99,3, непродовольственные товары – 100,2, услуги – 100,5%. (</w:t>
      </w:r>
      <w:proofErr w:type="spellStart"/>
      <w:r w:rsidRPr="0092776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Справочно</w:t>
      </w:r>
      <w:proofErr w:type="spellEnd"/>
      <w:r w:rsidRPr="0092776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:</w:t>
      </w:r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в мае 2019 г. по отношению к апрелю 2019 г. данный показатель составил 100,4%, в том числе на продовольственные товары – 100,5, непродовольственные</w:t>
      </w:r>
      <w:proofErr w:type="gramEnd"/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 </w:t>
      </w:r>
      <w:proofErr w:type="gramStart"/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100,3, услуги – 100,4%).</w:t>
      </w:r>
      <w:proofErr w:type="gramEnd"/>
    </w:p>
    <w:p w:rsidR="00BA5496" w:rsidRPr="00E47AE0" w:rsidRDefault="00BA5496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E47AE0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Индексы потребительских цен по Пенз</w:t>
      </w:r>
      <w:r w:rsidR="00ED7DBE" w:rsidRPr="00E47AE0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енской области в 2020 г.</w:t>
      </w:r>
    </w:p>
    <w:p w:rsidR="00BE0982" w:rsidRPr="00E47AE0" w:rsidRDefault="00BE0982" w:rsidP="00BE0982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lang w:eastAsia="ru-RU"/>
        </w:rPr>
      </w:pPr>
      <w:r w:rsidRPr="00E47AE0">
        <w:rPr>
          <w:rFonts w:ascii="Times New Roman" w:hAnsi="Times New Roman"/>
          <w:snapToGrid w:val="0"/>
          <w:sz w:val="24"/>
          <w:szCs w:val="24"/>
          <w:lang w:eastAsia="ru-RU"/>
        </w:rPr>
        <w:t>(к предыдущему месяцу; в процентах)</w:t>
      </w:r>
    </w:p>
    <w:p w:rsidR="00BE0982" w:rsidRPr="00E47AE0" w:rsidRDefault="00BE0982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</w:p>
    <w:p w:rsidR="00BE0982" w:rsidRPr="00E47AE0" w:rsidRDefault="00930921" w:rsidP="00152609">
      <w:pPr>
        <w:suppressAutoHyphens/>
        <w:spacing w:after="0" w:line="216" w:lineRule="auto"/>
        <w:ind w:right="-1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47AE0">
        <w:rPr>
          <w:noProof/>
          <w:lang w:eastAsia="ru-RU"/>
        </w:rPr>
        <w:drawing>
          <wp:inline distT="0" distB="0" distL="0" distR="0" wp14:anchorId="3A355931" wp14:editId="2BAB7F26">
            <wp:extent cx="6228272" cy="3424687"/>
            <wp:effectExtent l="0" t="0" r="20320" b="23495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344C" w:rsidRPr="00E47AE0" w:rsidRDefault="002E344C" w:rsidP="007E1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proofErr w:type="gramStart"/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 мае 2020</w:t>
      </w:r>
      <w:r w:rsidR="007D762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г. по отношению к апрелю 2020</w:t>
      </w:r>
      <w:r w:rsidR="007D762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г. зарегистрировано сезонное снижение цен на плодоовощную продукцию (включая картофель) на 4,5%, в том числе овощи подешевели на 6,8, фрукты и цитрусовые – на 3,8%. Цены на чеснок снизились на 24,8%, лук репчатый – на 8,8, п</w:t>
      </w:r>
      <w:r w:rsidR="0077677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омидоры свежие – на 8,3, огурцы </w:t>
      </w:r>
      <w:r w:rsidR="0077677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br/>
      </w:r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свежие – на 7,1, капусту белокочанную – на 4,3%. В то же время свекла</w:t>
      </w:r>
      <w:proofErr w:type="gramEnd"/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столовая подорожала на 10,0%, морковь – на 3,1%. Из фруктов в наибольшей степени снизились цены на лимоны на 41,0%, виноград – на 4,0%. Яблоки подорожали на 5,5%, бананы – </w:t>
      </w:r>
      <w:proofErr w:type="gramStart"/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на</w:t>
      </w:r>
      <w:proofErr w:type="gramEnd"/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4,9%.</w:t>
      </w:r>
    </w:p>
    <w:p w:rsidR="002E344C" w:rsidRPr="00E47AE0" w:rsidRDefault="002E344C" w:rsidP="007E1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Снижение цен на яйца составило 8,4%, сахар-песок – на 3,2%. </w:t>
      </w:r>
    </w:p>
    <w:p w:rsidR="002E344C" w:rsidRPr="00E47AE0" w:rsidRDefault="002E344C" w:rsidP="007E1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lastRenderedPageBreak/>
        <w:t xml:space="preserve">Выросли цены на крупу и бобовые на 7,0%, в том числе рис подорожал на 9,7, крупа гречневая-ядрица – на 7,7, горох и фасоль – на 5,6%. Рост цен на макаронные изделия составил 1,6%, масло подсолнечное – на 1,4, сыр – </w:t>
      </w:r>
      <w:proofErr w:type="gramStart"/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на</w:t>
      </w:r>
      <w:proofErr w:type="gramEnd"/>
      <w:r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1,2%.</w:t>
      </w:r>
    </w:p>
    <w:p w:rsidR="002E344C" w:rsidRPr="0092537A" w:rsidRDefault="002E344C" w:rsidP="007E1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наблюдаемых непродовольственных товаров в мае отмечено снижение цен на холодильники бытовые на 1,5%, стиральные машины – на 1,4, стеклянную посуду – на 1,0, </w:t>
      </w:r>
      <w:proofErr w:type="spellStart"/>
      <w:r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телерадиотовары</w:t>
      </w:r>
      <w:proofErr w:type="spellEnd"/>
      <w:r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0,7%.</w:t>
      </w:r>
    </w:p>
    <w:p w:rsidR="002E344C" w:rsidRPr="0092537A" w:rsidRDefault="002E344C" w:rsidP="007E1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Зарегистрировано повышение цен на моющие и чистящие средства на 0,8%, табачные изделия и фарфорово-фаянсовую посуду – на 0,7, обувь – на 0,3, трикотажные изделия, одежду и белье – на 0,2%.</w:t>
      </w:r>
    </w:p>
    <w:p w:rsidR="0043515E" w:rsidRPr="0092537A" w:rsidRDefault="00470038" w:rsidP="007E1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сравнению с </w:t>
      </w:r>
      <w:r w:rsidR="001B51C6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предыдущим месяцем в </w:t>
      </w:r>
      <w:r w:rsidR="00CD3D8B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мае</w:t>
      </w:r>
      <w:r w:rsidR="0033051C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2020</w:t>
      </w:r>
      <w:r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снизилась </w:t>
      </w:r>
      <w:r w:rsidR="0027002D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стоимость </w:t>
      </w:r>
      <w:r w:rsidR="0043515E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установки пластиковых окон на 1,7</w:t>
      </w:r>
      <w:r w:rsidR="00A2769B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 П</w:t>
      </w:r>
      <w:r w:rsidR="0043515E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роезд в такси подешевел на 1,6%.</w:t>
      </w:r>
    </w:p>
    <w:p w:rsidR="00AA235E" w:rsidRPr="0092537A" w:rsidRDefault="00AA235E" w:rsidP="007E1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Повысилась стоимость проезда в плацкартных вагонах скорого нефирменного и фирменного поездов дальнего следования на 18,5 и 18,1% соответственно. Проезд в купейных вагонах поездов вышеуказанной категории подорожал на 18,3 и 14,8% соответственно.</w:t>
      </w:r>
    </w:p>
    <w:p w:rsidR="00A56E38" w:rsidRPr="0092537A" w:rsidRDefault="00B317E8" w:rsidP="007E15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3A3927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лата за пользо</w:t>
      </w:r>
      <w:r w:rsidR="00324769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вание потребительским кредитом</w:t>
      </w:r>
      <w:r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повысилась на 2,5</w:t>
      </w:r>
      <w:r w:rsidR="00A56E38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1B1AB6" w:rsidRPr="009253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362A8" w:rsidRPr="0092537A" w:rsidRDefault="002362A8" w:rsidP="007E15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927764" w:rsidRPr="00927764" w:rsidRDefault="00927764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470038" w:rsidRPr="00152609" w:rsidRDefault="0047003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bookmarkStart w:id="0" w:name="_GoBack"/>
      <w:bookmarkEnd w:id="0"/>
      <w:r w:rsidRPr="0092537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финансов</w:t>
      </w:r>
    </w:p>
    <w:sectPr w:rsidR="00470038" w:rsidRPr="00152609" w:rsidSect="00620A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4A16"/>
    <w:rsid w:val="00015EF5"/>
    <w:rsid w:val="00035440"/>
    <w:rsid w:val="00083888"/>
    <w:rsid w:val="00093982"/>
    <w:rsid w:val="00094522"/>
    <w:rsid w:val="00096471"/>
    <w:rsid w:val="000A5BFE"/>
    <w:rsid w:val="000A68A1"/>
    <w:rsid w:val="000C6802"/>
    <w:rsid w:val="000D083F"/>
    <w:rsid w:val="000D2E12"/>
    <w:rsid w:val="000F4AE7"/>
    <w:rsid w:val="00116259"/>
    <w:rsid w:val="00141EA5"/>
    <w:rsid w:val="0014552D"/>
    <w:rsid w:val="00152609"/>
    <w:rsid w:val="001550DD"/>
    <w:rsid w:val="001664F6"/>
    <w:rsid w:val="001908B3"/>
    <w:rsid w:val="001B1AB6"/>
    <w:rsid w:val="001B51C6"/>
    <w:rsid w:val="002108CB"/>
    <w:rsid w:val="002362A8"/>
    <w:rsid w:val="00241DCB"/>
    <w:rsid w:val="00245353"/>
    <w:rsid w:val="00260A6B"/>
    <w:rsid w:val="0027002D"/>
    <w:rsid w:val="002729BD"/>
    <w:rsid w:val="00274EB8"/>
    <w:rsid w:val="002807CB"/>
    <w:rsid w:val="002C2F82"/>
    <w:rsid w:val="002C7E7A"/>
    <w:rsid w:val="002D22D0"/>
    <w:rsid w:val="002D2ACE"/>
    <w:rsid w:val="002E344C"/>
    <w:rsid w:val="00304C4A"/>
    <w:rsid w:val="00324769"/>
    <w:rsid w:val="0033051C"/>
    <w:rsid w:val="0034678F"/>
    <w:rsid w:val="00373A83"/>
    <w:rsid w:val="00386220"/>
    <w:rsid w:val="00397069"/>
    <w:rsid w:val="003A3927"/>
    <w:rsid w:val="003C637B"/>
    <w:rsid w:val="003C739F"/>
    <w:rsid w:val="003C7E78"/>
    <w:rsid w:val="003D2D22"/>
    <w:rsid w:val="0040239F"/>
    <w:rsid w:val="0040635E"/>
    <w:rsid w:val="004173FF"/>
    <w:rsid w:val="00421EAE"/>
    <w:rsid w:val="0043515E"/>
    <w:rsid w:val="004443EE"/>
    <w:rsid w:val="00457AEC"/>
    <w:rsid w:val="00462DC6"/>
    <w:rsid w:val="00470038"/>
    <w:rsid w:val="0048525F"/>
    <w:rsid w:val="004B4FA8"/>
    <w:rsid w:val="004F141F"/>
    <w:rsid w:val="0050304B"/>
    <w:rsid w:val="00503A56"/>
    <w:rsid w:val="00504552"/>
    <w:rsid w:val="005148FA"/>
    <w:rsid w:val="005354E7"/>
    <w:rsid w:val="005860E2"/>
    <w:rsid w:val="00587F08"/>
    <w:rsid w:val="005A02F5"/>
    <w:rsid w:val="005B05AA"/>
    <w:rsid w:val="005C5E00"/>
    <w:rsid w:val="005D69E2"/>
    <w:rsid w:val="00620A2D"/>
    <w:rsid w:val="006239F9"/>
    <w:rsid w:val="0067317C"/>
    <w:rsid w:val="00685379"/>
    <w:rsid w:val="006A4E9E"/>
    <w:rsid w:val="006B1DCA"/>
    <w:rsid w:val="006D0139"/>
    <w:rsid w:val="006E27E1"/>
    <w:rsid w:val="006E7FA5"/>
    <w:rsid w:val="00736E68"/>
    <w:rsid w:val="0073760D"/>
    <w:rsid w:val="007628FE"/>
    <w:rsid w:val="0077677A"/>
    <w:rsid w:val="007815E9"/>
    <w:rsid w:val="00785FE5"/>
    <w:rsid w:val="00791A83"/>
    <w:rsid w:val="007D218A"/>
    <w:rsid w:val="007D762E"/>
    <w:rsid w:val="007E1526"/>
    <w:rsid w:val="007F49D2"/>
    <w:rsid w:val="00817C31"/>
    <w:rsid w:val="008218A9"/>
    <w:rsid w:val="008B3E7B"/>
    <w:rsid w:val="00912697"/>
    <w:rsid w:val="0092537A"/>
    <w:rsid w:val="00927764"/>
    <w:rsid w:val="00930921"/>
    <w:rsid w:val="009328BB"/>
    <w:rsid w:val="00936766"/>
    <w:rsid w:val="00945D1A"/>
    <w:rsid w:val="009B5F31"/>
    <w:rsid w:val="009C6B69"/>
    <w:rsid w:val="009D3748"/>
    <w:rsid w:val="009E594D"/>
    <w:rsid w:val="009F434C"/>
    <w:rsid w:val="00A2769B"/>
    <w:rsid w:val="00A43017"/>
    <w:rsid w:val="00A56E38"/>
    <w:rsid w:val="00A640CF"/>
    <w:rsid w:val="00A67E4B"/>
    <w:rsid w:val="00A76C33"/>
    <w:rsid w:val="00A9543F"/>
    <w:rsid w:val="00AA235E"/>
    <w:rsid w:val="00AE2716"/>
    <w:rsid w:val="00B16B94"/>
    <w:rsid w:val="00B279A1"/>
    <w:rsid w:val="00B317E8"/>
    <w:rsid w:val="00B43DB1"/>
    <w:rsid w:val="00B54276"/>
    <w:rsid w:val="00B57AC2"/>
    <w:rsid w:val="00B65482"/>
    <w:rsid w:val="00B66B1F"/>
    <w:rsid w:val="00B67838"/>
    <w:rsid w:val="00B72950"/>
    <w:rsid w:val="00B859B9"/>
    <w:rsid w:val="00BA5496"/>
    <w:rsid w:val="00BC0081"/>
    <w:rsid w:val="00BD15FF"/>
    <w:rsid w:val="00BD2A8A"/>
    <w:rsid w:val="00BD66C4"/>
    <w:rsid w:val="00BD7FBA"/>
    <w:rsid w:val="00BE0982"/>
    <w:rsid w:val="00BF45B7"/>
    <w:rsid w:val="00C15E45"/>
    <w:rsid w:val="00C20100"/>
    <w:rsid w:val="00C362A8"/>
    <w:rsid w:val="00C61790"/>
    <w:rsid w:val="00C63491"/>
    <w:rsid w:val="00C66782"/>
    <w:rsid w:val="00C93908"/>
    <w:rsid w:val="00CA5BE4"/>
    <w:rsid w:val="00CB05C2"/>
    <w:rsid w:val="00CB7F38"/>
    <w:rsid w:val="00CC0BFD"/>
    <w:rsid w:val="00CD247D"/>
    <w:rsid w:val="00CD3D8B"/>
    <w:rsid w:val="00CD3DF5"/>
    <w:rsid w:val="00CF72BD"/>
    <w:rsid w:val="00D32962"/>
    <w:rsid w:val="00D51534"/>
    <w:rsid w:val="00D5616F"/>
    <w:rsid w:val="00D759D2"/>
    <w:rsid w:val="00DA0F76"/>
    <w:rsid w:val="00DC22F4"/>
    <w:rsid w:val="00DC539D"/>
    <w:rsid w:val="00DD251F"/>
    <w:rsid w:val="00DE1960"/>
    <w:rsid w:val="00DF25FF"/>
    <w:rsid w:val="00DF603F"/>
    <w:rsid w:val="00E15D63"/>
    <w:rsid w:val="00E21815"/>
    <w:rsid w:val="00E24094"/>
    <w:rsid w:val="00E278C3"/>
    <w:rsid w:val="00E3072D"/>
    <w:rsid w:val="00E47AE0"/>
    <w:rsid w:val="00EA11B1"/>
    <w:rsid w:val="00EA321F"/>
    <w:rsid w:val="00EB040C"/>
    <w:rsid w:val="00ED7330"/>
    <w:rsid w:val="00ED7DBE"/>
    <w:rsid w:val="00EE1DA3"/>
    <w:rsid w:val="00EF272C"/>
    <w:rsid w:val="00EF676E"/>
    <w:rsid w:val="00F02E19"/>
    <w:rsid w:val="00F8779C"/>
    <w:rsid w:val="00FA2197"/>
    <w:rsid w:val="00FA23EB"/>
    <w:rsid w:val="00FA7F6A"/>
    <w:rsid w:val="00FB738F"/>
    <w:rsid w:val="00FB77A3"/>
    <w:rsid w:val="00FC36CB"/>
    <w:rsid w:val="00FD0D24"/>
    <w:rsid w:val="00FD60E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70187237233644E-2"/>
          <c:y val="1.2104140577199093E-2"/>
          <c:w val="0.94500354122401364"/>
          <c:h val="0.6745058293375242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 товары и услуги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41673618640185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740743711048678E-3"/>
                  <c:y val="1.11788623849765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100.5</c:v>
                </c:pt>
                <c:pt idx="1">
                  <c:v>100.3</c:v>
                </c:pt>
                <c:pt idx="2">
                  <c:v>100.8</c:v>
                </c:pt>
                <c:pt idx="3">
                  <c:v>101.1</c:v>
                </c:pt>
                <c:pt idx="4">
                  <c:v>99.9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904115061925681E-3"/>
                  <c:y val="3.70851103282032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16060080878103E-3"/>
                  <c:y val="1.2465071392538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102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100.6</c:v>
                </c:pt>
                <c:pt idx="1">
                  <c:v>100.3</c:v>
                </c:pt>
                <c:pt idx="2">
                  <c:v>101.4</c:v>
                </c:pt>
                <c:pt idx="3">
                  <c:v>102.5</c:v>
                </c:pt>
                <c:pt idx="4">
                  <c:v>99.3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236620365969886E-2"/>
                  <c:y val="-7.4882755708769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60773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100.3</c:v>
                </c:pt>
                <c:pt idx="1">
                  <c:v>100.1</c:v>
                </c:pt>
                <c:pt idx="2">
                  <c:v>100.5</c:v>
                </c:pt>
                <c:pt idx="3">
                  <c:v>100.4</c:v>
                </c:pt>
                <c:pt idx="4">
                  <c:v>100.2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Услуги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100.4</c:v>
                </c:pt>
                <c:pt idx="1">
                  <c:v>100.4</c:v>
                </c:pt>
                <c:pt idx="2">
                  <c:v>100.1</c:v>
                </c:pt>
                <c:pt idx="3">
                  <c:v>99.7</c:v>
                </c:pt>
                <c:pt idx="4">
                  <c:v>100.5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41843328"/>
        <c:axId val="90329856"/>
      </c:barChart>
      <c:catAx>
        <c:axId val="41843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</a:p>
            </c:rich>
          </c:tx>
          <c:layout>
            <c:manualLayout>
              <c:xMode val="edge"/>
              <c:yMode val="edge"/>
              <c:x val="0.74975841191428194"/>
              <c:y val="0.71591406036077554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200" baseline="0"/>
            </a:pPr>
            <a:endParaRPr lang="ru-RU"/>
          </a:p>
        </c:txPr>
        <c:crossAx val="90329856"/>
        <c:crossesAt val="99"/>
        <c:auto val="1"/>
        <c:lblAlgn val="ctr"/>
        <c:lblOffset val="100"/>
        <c:noMultiLvlLbl val="0"/>
      </c:catAx>
      <c:valAx>
        <c:axId val="90329856"/>
        <c:scaling>
          <c:orientation val="minMax"/>
          <c:max val="103"/>
          <c:min val="99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41843328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1807021148394721"/>
          <c:y val="0.85811857083324194"/>
          <c:w val="0.80776466199957242"/>
          <c:h val="0.1068942718038107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DB17-1A32-4A5B-B43B-EE676B3C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80</cp:revision>
  <cp:lastPrinted>2020-06-08T08:26:00Z</cp:lastPrinted>
  <dcterms:created xsi:type="dcterms:W3CDTF">2020-03-10T10:20:00Z</dcterms:created>
  <dcterms:modified xsi:type="dcterms:W3CDTF">2020-06-08T08:26:00Z</dcterms:modified>
</cp:coreProperties>
</file>